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E5D4C" w:rsidRDefault="009D1D6B" w:rsidP="00F14B1C">
      <w:pPr>
        <w:jc w:val="center"/>
        <w:rPr>
          <w:rFonts w:ascii="Algerian" w:hAnsi="Algerian" w:cs="Arial"/>
          <w:b/>
          <w:bCs/>
          <w:color w:val="000000"/>
          <w:sz w:val="32"/>
          <w:szCs w:val="32"/>
        </w:rPr>
      </w:pPr>
      <w:r>
        <w:rPr>
          <w:noProof/>
        </w:rPr>
        <w:drawing>
          <wp:anchor distT="0" distB="0" distL="114300" distR="114300" simplePos="0" relativeHeight="251667456" behindDoc="1" locked="0" layoutInCell="1" allowOverlap="1" wp14:anchorId="1F249135" wp14:editId="58E35C38">
            <wp:simplePos x="0" y="0"/>
            <wp:positionH relativeFrom="column">
              <wp:posOffset>-332740</wp:posOffset>
            </wp:positionH>
            <wp:positionV relativeFrom="paragraph">
              <wp:posOffset>197485</wp:posOffset>
            </wp:positionV>
            <wp:extent cx="1630045" cy="1499235"/>
            <wp:effectExtent l="88900" t="101600" r="84455" b="10096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rot="457378">
                      <a:off x="0" y="0"/>
                      <a:ext cx="1630045" cy="149923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F14B1C" w:rsidRPr="00CA7007">
        <w:rPr>
          <w:rFonts w:ascii="Algerian" w:hAnsi="Algerian" w:cs="Arial"/>
          <w:b/>
          <w:bCs/>
          <w:color w:val="000000"/>
          <w:sz w:val="32"/>
          <w:szCs w:val="32"/>
        </w:rPr>
        <w:t xml:space="preserve">Entonación, tono, tonalidad, </w:t>
      </w:r>
      <w:proofErr w:type="spellStart"/>
      <w:r w:rsidR="00F14B1C" w:rsidRPr="00CA7007">
        <w:rPr>
          <w:rFonts w:ascii="Algerian" w:hAnsi="Algerian" w:cs="Arial"/>
          <w:b/>
          <w:bCs/>
          <w:color w:val="000000"/>
          <w:sz w:val="32"/>
          <w:szCs w:val="32"/>
        </w:rPr>
        <w:t>temporización</w:t>
      </w:r>
      <w:proofErr w:type="spellEnd"/>
    </w:p>
    <w:p w:rsidR="009D1D6B" w:rsidRPr="00CA7007" w:rsidRDefault="009D1D6B" w:rsidP="00F14B1C">
      <w:pPr>
        <w:jc w:val="center"/>
        <w:rPr>
          <w:rFonts w:ascii="Algerian" w:hAnsi="Algerian" w:cs="Arial"/>
          <w:b/>
          <w:bCs/>
          <w:color w:val="000000"/>
          <w:sz w:val="32"/>
          <w:szCs w:val="32"/>
        </w:rPr>
      </w:pPr>
    </w:p>
    <w:p w:rsidR="007A5DF5" w:rsidRPr="007A5DF5" w:rsidRDefault="0037343B" w:rsidP="007A5DF5">
      <w:pPr>
        <w:jc w:val="both"/>
        <w:rPr>
          <w:rFonts w:ascii="Times New Roman" w:hAnsi="Times New Roman" w:cs="Times New Roman"/>
          <w:sz w:val="28"/>
          <w:szCs w:val="28"/>
        </w:rPr>
      </w:pPr>
      <w:r>
        <w:rPr>
          <w:noProof/>
        </w:rPr>
        <w:drawing>
          <wp:anchor distT="0" distB="0" distL="114300" distR="114300" simplePos="0" relativeHeight="251663360" behindDoc="1" locked="0" layoutInCell="1" allowOverlap="1" wp14:anchorId="1F249135" wp14:editId="58E35C38">
            <wp:simplePos x="0" y="0"/>
            <wp:positionH relativeFrom="column">
              <wp:posOffset>4034155</wp:posOffset>
            </wp:positionH>
            <wp:positionV relativeFrom="paragraph">
              <wp:posOffset>603885</wp:posOffset>
            </wp:positionV>
            <wp:extent cx="1673860" cy="1539875"/>
            <wp:effectExtent l="105092" t="98108" r="94933" b="94932"/>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rot="16716510">
                      <a:off x="0" y="0"/>
                      <a:ext cx="1673860" cy="153987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7A5DF5" w:rsidRPr="007A5DF5">
        <w:rPr>
          <w:rFonts w:ascii="Arial" w:hAnsi="Arial" w:cs="Arial"/>
          <w:color w:val="000000"/>
          <w:sz w:val="28"/>
          <w:szCs w:val="28"/>
        </w:rPr>
        <w:t>La entonación es la variación de la altura tonal de la voz con que se pronuncia un enunciado. El tono o, en términos acústicos, la frecuencia fundamental, Fo, se corresponde articulatoriamente con la frecuencia de vibración de los pliegues vocales.</w:t>
      </w:r>
    </w:p>
    <w:p w:rsidR="007A5DF5" w:rsidRPr="007A5DF5" w:rsidRDefault="007A5DF5" w:rsidP="007A5DF5">
      <w:pPr>
        <w:jc w:val="both"/>
        <w:rPr>
          <w:rFonts w:ascii="Times New Roman" w:eastAsia="Times New Roman" w:hAnsi="Times New Roman" w:cs="Times New Roman"/>
          <w:sz w:val="28"/>
          <w:szCs w:val="28"/>
        </w:rPr>
      </w:pPr>
    </w:p>
    <w:p w:rsidR="007A5DF5" w:rsidRPr="007A5DF5" w:rsidRDefault="00E003C7" w:rsidP="007A5DF5">
      <w:pPr>
        <w:jc w:val="both"/>
        <w:rPr>
          <w:rFonts w:ascii="Times New Roman" w:hAnsi="Times New Roman" w:cs="Times New Roman"/>
          <w:sz w:val="28"/>
          <w:szCs w:val="28"/>
        </w:rPr>
      </w:pPr>
      <w:r>
        <w:rPr>
          <w:noProof/>
        </w:rPr>
        <w:drawing>
          <wp:anchor distT="0" distB="0" distL="114300" distR="114300" simplePos="0" relativeHeight="251661312" behindDoc="1" locked="0" layoutInCell="1" allowOverlap="1" wp14:anchorId="52E0B625" wp14:editId="6E29B77B">
            <wp:simplePos x="0" y="0"/>
            <wp:positionH relativeFrom="column">
              <wp:posOffset>-48260</wp:posOffset>
            </wp:positionH>
            <wp:positionV relativeFrom="paragraph">
              <wp:posOffset>193040</wp:posOffset>
            </wp:positionV>
            <wp:extent cx="1790065" cy="1915160"/>
            <wp:effectExtent l="356553" t="418147" r="306387" b="420688"/>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rot="2808241">
                      <a:off x="0" y="0"/>
                      <a:ext cx="1790065" cy="1915160"/>
                    </a:xfrm>
                    <a:prstGeom prst="rect">
                      <a:avLst/>
                    </a:prstGeom>
                  </pic:spPr>
                </pic:pic>
              </a:graphicData>
            </a:graphic>
            <wp14:sizeRelH relativeFrom="margin">
              <wp14:pctWidth>0</wp14:pctWidth>
            </wp14:sizeRelH>
            <wp14:sizeRelV relativeFrom="margin">
              <wp14:pctHeight>0</wp14:pctHeight>
            </wp14:sizeRelV>
          </wp:anchor>
        </w:drawing>
      </w:r>
      <w:r w:rsidR="007A5DF5" w:rsidRPr="007A5DF5">
        <w:rPr>
          <w:rFonts w:ascii="Arial" w:hAnsi="Arial" w:cs="Arial"/>
          <w:color w:val="000000"/>
          <w:sz w:val="28"/>
          <w:szCs w:val="28"/>
        </w:rPr>
        <w:t>El término tonalidad puede referirse:</w:t>
      </w:r>
    </w:p>
    <w:p w:rsidR="007A5DF5" w:rsidRPr="007A5DF5" w:rsidRDefault="007A5DF5" w:rsidP="007A5DF5">
      <w:pPr>
        <w:jc w:val="both"/>
        <w:rPr>
          <w:rFonts w:ascii="Times New Roman" w:eastAsia="Times New Roman" w:hAnsi="Times New Roman" w:cs="Times New Roman"/>
          <w:sz w:val="28"/>
          <w:szCs w:val="28"/>
        </w:rPr>
      </w:pPr>
    </w:p>
    <w:p w:rsidR="007A5DF5" w:rsidRPr="007A5DF5" w:rsidRDefault="007A5DF5" w:rsidP="007A5DF5">
      <w:pPr>
        <w:jc w:val="both"/>
        <w:rPr>
          <w:rFonts w:ascii="Times New Roman" w:hAnsi="Times New Roman" w:cs="Times New Roman"/>
          <w:sz w:val="28"/>
          <w:szCs w:val="28"/>
        </w:rPr>
      </w:pPr>
      <w:r w:rsidRPr="007A5DF5">
        <w:rPr>
          <w:rFonts w:ascii="Arial" w:hAnsi="Arial" w:cs="Arial"/>
          <w:color w:val="000000"/>
          <w:sz w:val="28"/>
          <w:szCs w:val="28"/>
        </w:rPr>
        <w:t>En la música, a tonalidad, una organización jerárquica específica de las relaciones entre las diferentes alturas musicales;</w:t>
      </w:r>
    </w:p>
    <w:p w:rsidR="007A5DF5" w:rsidRPr="007A5DF5" w:rsidRDefault="007A5DF5" w:rsidP="007A5DF5">
      <w:pPr>
        <w:jc w:val="both"/>
        <w:rPr>
          <w:rFonts w:ascii="Times New Roman" w:hAnsi="Times New Roman" w:cs="Times New Roman"/>
          <w:sz w:val="28"/>
          <w:szCs w:val="28"/>
        </w:rPr>
      </w:pPr>
      <w:r w:rsidRPr="007A5DF5">
        <w:rPr>
          <w:rFonts w:ascii="Arial" w:hAnsi="Arial" w:cs="Arial"/>
          <w:color w:val="000000"/>
          <w:sz w:val="28"/>
          <w:szCs w:val="28"/>
        </w:rPr>
        <w:t>Tonalidad relativa, aquellas tonalidades mayores y menores que comparten la misma armadura de clave, es decir, las mismas alteraciones.</w:t>
      </w:r>
    </w:p>
    <w:p w:rsidR="007A5DF5" w:rsidRPr="007A5DF5" w:rsidRDefault="007A5DF5" w:rsidP="007A5DF5">
      <w:pPr>
        <w:jc w:val="both"/>
        <w:rPr>
          <w:rFonts w:ascii="Times New Roman" w:hAnsi="Times New Roman" w:cs="Times New Roman"/>
          <w:sz w:val="28"/>
          <w:szCs w:val="28"/>
        </w:rPr>
      </w:pPr>
      <w:r w:rsidRPr="007A5DF5">
        <w:rPr>
          <w:rFonts w:ascii="Arial" w:hAnsi="Arial" w:cs="Arial"/>
          <w:color w:val="000000"/>
          <w:sz w:val="28"/>
          <w:szCs w:val="28"/>
        </w:rPr>
        <w:t>Tonalidad homónima, tonalidad menor con la misma tónica.</w:t>
      </w:r>
    </w:p>
    <w:p w:rsidR="007A5DF5" w:rsidRPr="007A5DF5" w:rsidRDefault="007A5DF5" w:rsidP="007A5DF5">
      <w:pPr>
        <w:jc w:val="both"/>
        <w:rPr>
          <w:rFonts w:ascii="Times New Roman" w:hAnsi="Times New Roman" w:cs="Times New Roman"/>
          <w:sz w:val="28"/>
          <w:szCs w:val="28"/>
        </w:rPr>
      </w:pPr>
      <w:r w:rsidRPr="007A5DF5">
        <w:rPr>
          <w:rFonts w:ascii="Arial" w:hAnsi="Arial" w:cs="Arial"/>
          <w:color w:val="000000"/>
          <w:sz w:val="28"/>
          <w:szCs w:val="28"/>
        </w:rPr>
        <w:t>Tonalidad vecina, tonalidades que comparten varios sonidos de su armadura.</w:t>
      </w:r>
    </w:p>
    <w:p w:rsidR="007A5DF5" w:rsidRPr="007A5DF5" w:rsidRDefault="00E003C7" w:rsidP="007A5DF5">
      <w:pPr>
        <w:jc w:val="both"/>
        <w:rPr>
          <w:rFonts w:ascii="Times New Roman" w:hAnsi="Times New Roman" w:cs="Times New Roman"/>
          <w:sz w:val="28"/>
          <w:szCs w:val="28"/>
        </w:rPr>
      </w:pPr>
      <w:r>
        <w:rPr>
          <w:noProof/>
        </w:rPr>
        <w:drawing>
          <wp:anchor distT="0" distB="0" distL="114300" distR="114300" simplePos="0" relativeHeight="251665408" behindDoc="1" locked="0" layoutInCell="1" allowOverlap="1" wp14:anchorId="1F249135" wp14:editId="58E35C38">
            <wp:simplePos x="0" y="0"/>
            <wp:positionH relativeFrom="column">
              <wp:posOffset>2763520</wp:posOffset>
            </wp:positionH>
            <wp:positionV relativeFrom="paragraph">
              <wp:posOffset>24765</wp:posOffset>
            </wp:positionV>
            <wp:extent cx="1630045" cy="1499235"/>
            <wp:effectExtent l="294005" t="226695" r="264160" b="23876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rot="18596378">
                      <a:off x="0" y="0"/>
                      <a:ext cx="1630045" cy="149923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7A5DF5" w:rsidRPr="007A5DF5">
        <w:rPr>
          <w:rFonts w:ascii="Arial" w:hAnsi="Arial" w:cs="Arial"/>
          <w:color w:val="000000"/>
          <w:sz w:val="28"/>
          <w:szCs w:val="28"/>
        </w:rPr>
        <w:t>Tonalidad mayor, escala musical que tiene una distancia tercera mayor entre el primer y el tercer grado, y una tercera menor entre el tercer y el quinto grado.</w:t>
      </w:r>
    </w:p>
    <w:p w:rsidR="007A5DF5" w:rsidRPr="007A5DF5" w:rsidRDefault="007A5DF5" w:rsidP="007A5DF5">
      <w:pPr>
        <w:jc w:val="both"/>
        <w:rPr>
          <w:rFonts w:ascii="Times New Roman" w:hAnsi="Times New Roman" w:cs="Times New Roman"/>
          <w:sz w:val="28"/>
          <w:szCs w:val="28"/>
        </w:rPr>
      </w:pPr>
      <w:r w:rsidRPr="007A5DF5">
        <w:rPr>
          <w:rFonts w:ascii="Arial" w:hAnsi="Arial" w:cs="Arial"/>
          <w:color w:val="000000"/>
          <w:sz w:val="28"/>
          <w:szCs w:val="28"/>
        </w:rPr>
        <w:t>Tonalidad menor, escala musical cuya distancia entre su primer y tercer grados es de tercera menor (un tono y medio).</w:t>
      </w:r>
      <w:r w:rsidR="00E003C7" w:rsidRPr="00E003C7">
        <w:rPr>
          <w:noProof/>
        </w:rPr>
        <w:t xml:space="preserve"> </w:t>
      </w:r>
    </w:p>
    <w:p w:rsidR="007A5DF5" w:rsidRPr="007A5DF5" w:rsidRDefault="007A5DF5" w:rsidP="007A5DF5">
      <w:pPr>
        <w:jc w:val="both"/>
        <w:rPr>
          <w:rFonts w:ascii="Times New Roman" w:eastAsia="Times New Roman" w:hAnsi="Times New Roman" w:cs="Times New Roman"/>
          <w:sz w:val="28"/>
          <w:szCs w:val="28"/>
        </w:rPr>
      </w:pPr>
    </w:p>
    <w:p w:rsidR="007A5DF5" w:rsidRPr="007A5DF5" w:rsidRDefault="007A5DF5" w:rsidP="007A5DF5">
      <w:pPr>
        <w:jc w:val="both"/>
        <w:rPr>
          <w:rFonts w:ascii="Times New Roman" w:hAnsi="Times New Roman" w:cs="Times New Roman"/>
          <w:sz w:val="28"/>
          <w:szCs w:val="28"/>
        </w:rPr>
      </w:pPr>
      <w:proofErr w:type="spellStart"/>
      <w:r w:rsidRPr="007A5DF5">
        <w:rPr>
          <w:rFonts w:ascii="Arial" w:hAnsi="Arial" w:cs="Arial"/>
          <w:color w:val="000000"/>
          <w:sz w:val="28"/>
          <w:szCs w:val="28"/>
        </w:rPr>
        <w:t>Temporización</w:t>
      </w:r>
      <w:proofErr w:type="spellEnd"/>
    </w:p>
    <w:p w:rsidR="007A5DF5" w:rsidRPr="007A5DF5" w:rsidRDefault="004948DC" w:rsidP="007A5DF5">
      <w:pPr>
        <w:jc w:val="both"/>
        <w:rPr>
          <w:rFonts w:ascii="Times New Roman" w:hAnsi="Times New Roman" w:cs="Times New Roman"/>
          <w:sz w:val="28"/>
          <w:szCs w:val="28"/>
        </w:rPr>
      </w:pPr>
      <w:r>
        <w:rPr>
          <w:noProof/>
        </w:rPr>
        <w:drawing>
          <wp:anchor distT="0" distB="0" distL="114300" distR="114300" simplePos="0" relativeHeight="251659264" behindDoc="1" locked="0" layoutInCell="1" allowOverlap="1" wp14:anchorId="2745AF56" wp14:editId="1BE5C3E2">
            <wp:simplePos x="0" y="0"/>
            <wp:positionH relativeFrom="column">
              <wp:posOffset>-45085</wp:posOffset>
            </wp:positionH>
            <wp:positionV relativeFrom="paragraph">
              <wp:posOffset>537845</wp:posOffset>
            </wp:positionV>
            <wp:extent cx="1630045" cy="1499235"/>
            <wp:effectExtent l="88900" t="101600" r="84455" b="10096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rot="457378">
                      <a:off x="0" y="0"/>
                      <a:ext cx="1630045" cy="149923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7A5DF5" w:rsidRPr="007A5DF5">
        <w:rPr>
          <w:rFonts w:ascii="Arial" w:hAnsi="Arial" w:cs="Arial"/>
          <w:color w:val="000000"/>
          <w:sz w:val="28"/>
          <w:szCs w:val="28"/>
        </w:rPr>
        <w:t>regular el tiempo o periodo en un mecanismo para que funcione en un momento dado o determinado, en acomodar el gusto o dictamen ajeno por algún respeto o una finalidad particular.</w:t>
      </w:r>
      <w:r w:rsidR="00760FBB" w:rsidRPr="00760FBB">
        <w:rPr>
          <w:noProof/>
        </w:rPr>
        <w:t xml:space="preserve"> </w:t>
      </w:r>
    </w:p>
    <w:p w:rsidR="007A5DF5" w:rsidRDefault="007A5DF5" w:rsidP="007A5DF5">
      <w:pPr>
        <w:jc w:val="both"/>
        <w:rPr>
          <w:sz w:val="28"/>
          <w:szCs w:val="28"/>
        </w:rPr>
      </w:pPr>
    </w:p>
    <w:p w:rsidR="005109C3" w:rsidRDefault="005109C3" w:rsidP="007A5DF5">
      <w:pPr>
        <w:jc w:val="both"/>
        <w:rPr>
          <w:sz w:val="28"/>
          <w:szCs w:val="28"/>
        </w:rPr>
      </w:pPr>
    </w:p>
    <w:p w:rsidR="005109C3" w:rsidRDefault="005109C3" w:rsidP="007A5DF5">
      <w:pPr>
        <w:jc w:val="both"/>
        <w:rPr>
          <w:sz w:val="28"/>
          <w:szCs w:val="28"/>
        </w:rPr>
      </w:pPr>
    </w:p>
    <w:p w:rsidR="005109C3" w:rsidRDefault="005109C3" w:rsidP="007A5DF5">
      <w:pPr>
        <w:jc w:val="both"/>
        <w:rPr>
          <w:sz w:val="28"/>
          <w:szCs w:val="28"/>
        </w:rPr>
      </w:pPr>
    </w:p>
    <w:p w:rsidR="005109C3" w:rsidRDefault="005109C3" w:rsidP="007A5DF5">
      <w:pPr>
        <w:jc w:val="both"/>
        <w:rPr>
          <w:sz w:val="28"/>
          <w:szCs w:val="28"/>
        </w:rPr>
      </w:pPr>
    </w:p>
    <w:p w:rsidR="005109C3" w:rsidRDefault="005109C3" w:rsidP="007A5DF5">
      <w:pPr>
        <w:jc w:val="both"/>
        <w:rPr>
          <w:sz w:val="28"/>
          <w:szCs w:val="28"/>
        </w:rPr>
      </w:pPr>
    </w:p>
    <w:p w:rsidR="005109C3" w:rsidRDefault="005109C3" w:rsidP="007A5DF5">
      <w:pPr>
        <w:jc w:val="both"/>
        <w:rPr>
          <w:sz w:val="28"/>
          <w:szCs w:val="28"/>
        </w:rPr>
      </w:pPr>
    </w:p>
    <w:p w:rsidR="005109C3" w:rsidRDefault="005109C3" w:rsidP="007A5DF5">
      <w:pPr>
        <w:jc w:val="both"/>
        <w:rPr>
          <w:sz w:val="28"/>
          <w:szCs w:val="28"/>
        </w:rPr>
      </w:pPr>
      <w:r>
        <w:rPr>
          <w:sz w:val="28"/>
          <w:szCs w:val="28"/>
        </w:rPr>
        <w:t>Vazquez N. (2018) “Entonación, Tono</w:t>
      </w:r>
      <w:r w:rsidR="00FB705C">
        <w:rPr>
          <w:sz w:val="28"/>
          <w:szCs w:val="28"/>
        </w:rPr>
        <w:t xml:space="preserve"> y su consiguiente”. 11 de junio del 2021, recuperado de: </w:t>
      </w:r>
      <w:hyperlink r:id="rId6" w:history="1">
        <w:r w:rsidR="00CF45AC" w:rsidRPr="00127A76">
          <w:rPr>
            <w:rStyle w:val="Hipervnculo"/>
            <w:sz w:val="28"/>
            <w:szCs w:val="28"/>
          </w:rPr>
          <w:t>https://www.academiadelemguajeycomunicacion-todosobreentonacion.com</w:t>
        </w:r>
      </w:hyperlink>
    </w:p>
    <w:p w:rsidR="00CF45AC" w:rsidRPr="007A5DF5" w:rsidRDefault="00CF45AC" w:rsidP="007A5DF5">
      <w:pPr>
        <w:jc w:val="both"/>
        <w:rPr>
          <w:sz w:val="28"/>
          <w:szCs w:val="28"/>
        </w:rPr>
      </w:pPr>
    </w:p>
    <w:sectPr w:rsidR="00CF45AC" w:rsidRPr="007A5DF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4D"/>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1"/>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DF5"/>
    <w:rsid w:val="002D086B"/>
    <w:rsid w:val="0037343B"/>
    <w:rsid w:val="00493AC1"/>
    <w:rsid w:val="004948DC"/>
    <w:rsid w:val="005109C3"/>
    <w:rsid w:val="00760FBB"/>
    <w:rsid w:val="007A5DF5"/>
    <w:rsid w:val="00976E20"/>
    <w:rsid w:val="009D1D6B"/>
    <w:rsid w:val="00CA7007"/>
    <w:rsid w:val="00CF45AC"/>
    <w:rsid w:val="00D74E3F"/>
    <w:rsid w:val="00E003C7"/>
    <w:rsid w:val="00F14B1C"/>
    <w:rsid w:val="00FB705C"/>
    <w:rsid w:val="00FE5D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00F9AD92"/>
  <w15:chartTrackingRefBased/>
  <w15:docId w15:val="{CB8F32F8-BC0C-C843-B47F-548CFD62E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A5DF5"/>
    <w:pPr>
      <w:spacing w:before="100" w:beforeAutospacing="1" w:after="100" w:afterAutospacing="1"/>
    </w:pPr>
    <w:rPr>
      <w:rFonts w:ascii="Times New Roman" w:hAnsi="Times New Roman" w:cs="Times New Roman"/>
      <w:sz w:val="24"/>
      <w:szCs w:val="24"/>
    </w:rPr>
  </w:style>
  <w:style w:type="character" w:styleId="Hipervnculo">
    <w:name w:val="Hyperlink"/>
    <w:basedOn w:val="Fuentedeprrafopredeter"/>
    <w:uiPriority w:val="99"/>
    <w:unhideWhenUsed/>
    <w:rsid w:val="00CF45AC"/>
    <w:rPr>
      <w:color w:val="0563C1" w:themeColor="hyperlink"/>
      <w:u w:val="single"/>
    </w:rPr>
  </w:style>
  <w:style w:type="character" w:styleId="Mencinsinresolver">
    <w:name w:val="Unresolved Mention"/>
    <w:basedOn w:val="Fuentedeprrafopredeter"/>
    <w:uiPriority w:val="99"/>
    <w:semiHidden/>
    <w:unhideWhenUsed/>
    <w:rsid w:val="00CF45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cademiadelemguajeycomunicacion-todosobreentonacion.co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224</Words>
  <Characters>1234</Characters>
  <Application>Microsoft Office Word</Application>
  <DocSecurity>0</DocSecurity>
  <Lines>10</Lines>
  <Paragraphs>2</Paragraphs>
  <ScaleCrop>false</ScaleCrop>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velazquez bisagra</dc:creator>
  <cp:keywords/>
  <dc:description/>
  <cp:lastModifiedBy>jesus velazquez bisagra</cp:lastModifiedBy>
  <cp:revision>2</cp:revision>
  <dcterms:created xsi:type="dcterms:W3CDTF">2021-06-24T03:31:00Z</dcterms:created>
  <dcterms:modified xsi:type="dcterms:W3CDTF">2021-06-24T03:31:00Z</dcterms:modified>
</cp:coreProperties>
</file>